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90" w:rsidRPr="004036BE" w:rsidRDefault="006A4190" w:rsidP="004036BE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9"/>
        <w:gridCol w:w="2544"/>
        <w:gridCol w:w="2415"/>
        <w:gridCol w:w="1911"/>
        <w:gridCol w:w="1991"/>
        <w:gridCol w:w="2519"/>
        <w:gridCol w:w="1929"/>
      </w:tblGrid>
      <w:tr w:rsidR="009E64AC" w:rsidRPr="0002465A" w:rsidTr="00F933B3">
        <w:trPr>
          <w:gridAfter w:val="1"/>
          <w:wAfter w:w="664" w:type="pct"/>
          <w:trHeight w:val="308"/>
        </w:trPr>
        <w:tc>
          <w:tcPr>
            <w:tcW w:w="4336" w:type="pct"/>
            <w:gridSpan w:val="6"/>
            <w:shd w:val="clear" w:color="auto" w:fill="DBE5F1" w:themeFill="accent1" w:themeFillTint="33"/>
          </w:tcPr>
          <w:p w:rsidR="002E3AA2" w:rsidRPr="0002465A" w:rsidRDefault="004036BE" w:rsidP="004036BE">
            <w:pPr>
              <w:rPr>
                <w:rFonts w:cstheme="minorHAnsi"/>
                <w:sz w:val="24"/>
                <w:szCs w:val="28"/>
              </w:rPr>
            </w:pPr>
            <w:r w:rsidRPr="0002465A">
              <w:rPr>
                <w:rFonts w:cstheme="minorHAnsi"/>
                <w:sz w:val="28"/>
                <w:szCs w:val="28"/>
              </w:rPr>
              <w:t>Summary Information</w:t>
            </w:r>
          </w:p>
        </w:tc>
      </w:tr>
      <w:tr w:rsidR="00F933B3" w:rsidRPr="0002465A" w:rsidTr="00F933B3">
        <w:trPr>
          <w:gridAfter w:val="1"/>
          <w:wAfter w:w="664" w:type="pct"/>
          <w:trHeight w:val="255"/>
        </w:trPr>
        <w:tc>
          <w:tcPr>
            <w:tcW w:w="712" w:type="pct"/>
            <w:shd w:val="clear" w:color="auto" w:fill="DBE5F1" w:themeFill="accent1" w:themeFillTint="33"/>
          </w:tcPr>
          <w:p w:rsidR="004036BE" w:rsidRPr="0002465A" w:rsidRDefault="004036BE" w:rsidP="004036BE">
            <w:pPr>
              <w:rPr>
                <w:rFonts w:cstheme="minorHAnsi"/>
                <w:sz w:val="24"/>
                <w:szCs w:val="28"/>
              </w:rPr>
            </w:pPr>
            <w:r w:rsidRPr="0002465A">
              <w:rPr>
                <w:rFonts w:cstheme="minorHAnsi"/>
                <w:sz w:val="24"/>
                <w:szCs w:val="28"/>
              </w:rPr>
              <w:t>School:</w:t>
            </w:r>
          </w:p>
        </w:tc>
        <w:tc>
          <w:tcPr>
            <w:tcW w:w="3624" w:type="pct"/>
            <w:gridSpan w:val="5"/>
            <w:shd w:val="clear" w:color="auto" w:fill="auto"/>
          </w:tcPr>
          <w:p w:rsidR="002E3AA2" w:rsidRPr="0002465A" w:rsidRDefault="004036BE" w:rsidP="004036BE">
            <w:pPr>
              <w:rPr>
                <w:rFonts w:eastAsiaTheme="majorEastAsia" w:cstheme="minorHAnsi"/>
                <w:szCs w:val="28"/>
              </w:rPr>
            </w:pPr>
            <w:r w:rsidRPr="0002465A">
              <w:rPr>
                <w:rFonts w:eastAsiaTheme="majorEastAsia" w:cstheme="minorHAnsi"/>
                <w:szCs w:val="28"/>
              </w:rPr>
              <w:t>Yaxham C E VA Primary School</w:t>
            </w:r>
          </w:p>
        </w:tc>
      </w:tr>
      <w:tr w:rsidR="00F933B3" w:rsidRPr="0002465A" w:rsidTr="00F933B3">
        <w:trPr>
          <w:gridAfter w:val="1"/>
          <w:wAfter w:w="664" w:type="pct"/>
          <w:trHeight w:val="459"/>
        </w:trPr>
        <w:tc>
          <w:tcPr>
            <w:tcW w:w="712" w:type="pct"/>
            <w:shd w:val="clear" w:color="auto" w:fill="DBE5F1" w:themeFill="accent1" w:themeFillTint="33"/>
          </w:tcPr>
          <w:p w:rsidR="009E64AC" w:rsidRPr="0002465A" w:rsidRDefault="009E64AC" w:rsidP="009E64A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 xml:space="preserve">Academic Year:  </w:t>
            </w:r>
          </w:p>
        </w:tc>
        <w:tc>
          <w:tcPr>
            <w:tcW w:w="1683" w:type="pct"/>
            <w:gridSpan w:val="2"/>
          </w:tcPr>
          <w:p w:rsidR="009E64AC" w:rsidRPr="003E1767" w:rsidRDefault="009E64AC" w:rsidP="004B1EE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20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>20-2021</w:t>
            </w:r>
          </w:p>
        </w:tc>
        <w:tc>
          <w:tcPr>
            <w:tcW w:w="657" w:type="pct"/>
            <w:shd w:val="clear" w:color="auto" w:fill="DBE5F1" w:themeFill="accent1" w:themeFillTint="33"/>
          </w:tcPr>
          <w:p w:rsidR="009E64AC" w:rsidRPr="0002465A" w:rsidRDefault="009E64AC" w:rsidP="009E64AC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 xml:space="preserve">Total Pupil Premium Budget for Year: </w:t>
            </w:r>
          </w:p>
        </w:tc>
        <w:tc>
          <w:tcPr>
            <w:tcW w:w="1283" w:type="pct"/>
            <w:gridSpan w:val="2"/>
          </w:tcPr>
          <w:p w:rsidR="002105BB" w:rsidRPr="003E1767" w:rsidRDefault="009E64AC" w:rsidP="004B1EE0">
            <w:pPr>
              <w:pStyle w:val="Default"/>
              <w:rPr>
                <w:rFonts w:asciiTheme="minorHAnsi" w:hAnsiTheme="minorHAnsi" w:cstheme="minorHAnsi"/>
                <w:bCs/>
                <w:i/>
                <w:sz w:val="20"/>
                <w:szCs w:val="23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£</w:t>
            </w:r>
            <w:r w:rsidR="005D247A" w:rsidRPr="003E1767">
              <w:rPr>
                <w:rFonts w:asciiTheme="minorHAnsi" w:hAnsiTheme="minorHAnsi" w:cstheme="minorHAnsi"/>
                <w:bCs/>
                <w:i/>
                <w:sz w:val="20"/>
                <w:szCs w:val="23"/>
              </w:rPr>
              <w:t>2</w:t>
            </w:r>
            <w:r w:rsidR="004B1EE0" w:rsidRPr="003E1767">
              <w:rPr>
                <w:rFonts w:asciiTheme="minorHAnsi" w:hAnsiTheme="minorHAnsi" w:cstheme="minorHAnsi"/>
                <w:bCs/>
                <w:i/>
                <w:sz w:val="20"/>
                <w:szCs w:val="23"/>
              </w:rPr>
              <w:t>4</w:t>
            </w:r>
            <w:r w:rsidR="005D247A" w:rsidRPr="003E1767">
              <w:rPr>
                <w:rFonts w:asciiTheme="minorHAnsi" w:hAnsiTheme="minorHAnsi" w:cstheme="minorHAnsi"/>
                <w:bCs/>
                <w:i/>
                <w:sz w:val="20"/>
                <w:szCs w:val="23"/>
              </w:rPr>
              <w:t>,</w:t>
            </w:r>
            <w:r w:rsidR="004B1EE0" w:rsidRPr="003E1767">
              <w:rPr>
                <w:rFonts w:asciiTheme="minorHAnsi" w:hAnsiTheme="minorHAnsi" w:cstheme="minorHAnsi"/>
                <w:bCs/>
                <w:i/>
                <w:sz w:val="20"/>
                <w:szCs w:val="23"/>
              </w:rPr>
              <w:t>520</w:t>
            </w:r>
          </w:p>
        </w:tc>
      </w:tr>
      <w:tr w:rsidR="00F933B3" w:rsidRPr="0002465A" w:rsidTr="00F933B3">
        <w:trPr>
          <w:gridAfter w:val="1"/>
          <w:wAfter w:w="664" w:type="pct"/>
          <w:trHeight w:val="484"/>
        </w:trPr>
        <w:tc>
          <w:tcPr>
            <w:tcW w:w="712" w:type="pct"/>
            <w:shd w:val="clear" w:color="auto" w:fill="DBE5F1" w:themeFill="accent1" w:themeFillTint="33"/>
          </w:tcPr>
          <w:p w:rsidR="009E64AC" w:rsidRPr="0002465A" w:rsidRDefault="009E64AC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Total Number of Pupils:</w:t>
            </w:r>
          </w:p>
        </w:tc>
        <w:tc>
          <w:tcPr>
            <w:tcW w:w="1683" w:type="pct"/>
            <w:gridSpan w:val="2"/>
          </w:tcPr>
          <w:p w:rsidR="009E64AC" w:rsidRPr="003E1767" w:rsidRDefault="004B1EE0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84</w:t>
            </w:r>
          </w:p>
        </w:tc>
        <w:tc>
          <w:tcPr>
            <w:tcW w:w="657" w:type="pct"/>
            <w:shd w:val="clear" w:color="auto" w:fill="DBE5F1" w:themeFill="accent1" w:themeFillTint="33"/>
          </w:tcPr>
          <w:p w:rsidR="009E64AC" w:rsidRPr="0002465A" w:rsidRDefault="009E64AC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 xml:space="preserve">Number of Pupils Eligible for Pupil Premium:  </w:t>
            </w:r>
          </w:p>
        </w:tc>
        <w:tc>
          <w:tcPr>
            <w:tcW w:w="1283" w:type="pct"/>
            <w:gridSpan w:val="2"/>
          </w:tcPr>
          <w:p w:rsidR="009E64AC" w:rsidRPr="003E1767" w:rsidRDefault="004B1EE0" w:rsidP="005D247A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933B3" w:rsidRPr="0002465A" w:rsidTr="00F933B3">
        <w:trPr>
          <w:gridAfter w:val="1"/>
          <w:wAfter w:w="664" w:type="pct"/>
          <w:trHeight w:val="858"/>
        </w:trPr>
        <w:tc>
          <w:tcPr>
            <w:tcW w:w="712" w:type="pct"/>
            <w:shd w:val="clear" w:color="auto" w:fill="DBE5F1" w:themeFill="accent1" w:themeFillTint="33"/>
          </w:tcPr>
          <w:p w:rsidR="00E909AD" w:rsidRPr="0002465A" w:rsidRDefault="00E909AD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Amount Per Pupil:</w:t>
            </w:r>
          </w:p>
        </w:tc>
        <w:tc>
          <w:tcPr>
            <w:tcW w:w="1683" w:type="pct"/>
            <w:gridSpan w:val="2"/>
          </w:tcPr>
          <w:p w:rsidR="00E909AD" w:rsidRPr="003E1767" w:rsidRDefault="00E909AD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£1,3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>45</w:t>
            </w:r>
          </w:p>
          <w:p w:rsidR="00C82E2B" w:rsidRPr="003E1767" w:rsidRDefault="00C82E2B" w:rsidP="006A419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£</w:t>
            </w:r>
            <w:r w:rsidR="002940C6" w:rsidRPr="003E1767">
              <w:rPr>
                <w:rFonts w:asciiTheme="minorHAnsi" w:hAnsiTheme="minorHAnsi" w:cstheme="minorHAnsi"/>
                <w:sz w:val="20"/>
              </w:rPr>
              <w:t>2,3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>45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for Looked after Children </w:t>
            </w:r>
            <w:r w:rsidR="002940C6" w:rsidRPr="003E1767">
              <w:rPr>
                <w:rFonts w:asciiTheme="minorHAnsi" w:hAnsiTheme="minorHAnsi" w:cstheme="minorHAnsi"/>
                <w:sz w:val="20"/>
              </w:rPr>
              <w:t>and Children who have ceased being looked after</w:t>
            </w:r>
            <w:r w:rsidR="001852CA" w:rsidRPr="003E176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C82E2B" w:rsidRPr="003E1767" w:rsidRDefault="00C82E2B" w:rsidP="004B1EE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£3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>10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for Service Children</w:t>
            </w:r>
          </w:p>
        </w:tc>
        <w:tc>
          <w:tcPr>
            <w:tcW w:w="657" w:type="pct"/>
            <w:shd w:val="clear" w:color="auto" w:fill="DBE5F1" w:themeFill="accent1" w:themeFillTint="33"/>
          </w:tcPr>
          <w:p w:rsidR="00E909AD" w:rsidRPr="0002465A" w:rsidRDefault="00E909AD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 xml:space="preserve">Date of next Pupil Premium Strategy review: </w:t>
            </w:r>
          </w:p>
        </w:tc>
        <w:tc>
          <w:tcPr>
            <w:tcW w:w="1283" w:type="pct"/>
            <w:gridSpan w:val="2"/>
          </w:tcPr>
          <w:p w:rsidR="00E909AD" w:rsidRPr="003E1767" w:rsidRDefault="002940C6" w:rsidP="004B1EE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Sept </w:t>
            </w:r>
            <w:r w:rsidR="005D247A" w:rsidRPr="003E1767">
              <w:rPr>
                <w:rFonts w:asciiTheme="minorHAnsi" w:hAnsiTheme="minorHAnsi" w:cstheme="minorHAnsi"/>
                <w:sz w:val="20"/>
              </w:rPr>
              <w:t>2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E64AC" w:rsidRPr="0002465A" w:rsidTr="00F933B3">
        <w:trPr>
          <w:gridAfter w:val="1"/>
          <w:wAfter w:w="664" w:type="pct"/>
          <w:trHeight w:val="1397"/>
        </w:trPr>
        <w:tc>
          <w:tcPr>
            <w:tcW w:w="4336" w:type="pct"/>
            <w:gridSpan w:val="6"/>
          </w:tcPr>
          <w:p w:rsidR="00E909AD" w:rsidRPr="003E1767" w:rsidRDefault="00E909AD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At Yaxham Primary School, we believe that by having the highest expectations of all learners, the highest possible standards will be achieved. Some pupils from disadvantaged backgrounds require additional support; </w:t>
            </w:r>
            <w:r w:rsidR="00615534" w:rsidRPr="003E1767">
              <w:rPr>
                <w:rFonts w:asciiTheme="minorHAnsi" w:hAnsiTheme="minorHAnsi" w:cstheme="minorHAnsi"/>
                <w:sz w:val="20"/>
              </w:rPr>
              <w:t>therefore,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we will use all the available resources to help 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 xml:space="preserve">them reach their full potential, especially after a long period of home learning. The performance of children </w:t>
            </w:r>
            <w:r w:rsidR="006971B5" w:rsidRPr="003E1767">
              <w:rPr>
                <w:rFonts w:asciiTheme="minorHAnsi" w:hAnsiTheme="minorHAnsi" w:cstheme="minorHAnsi"/>
                <w:sz w:val="20"/>
              </w:rPr>
              <w:t xml:space="preserve">eligible funding 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 xml:space="preserve">is on an upward trend but generally children is this group still do not </w:t>
            </w:r>
            <w:r w:rsidR="004E15BE" w:rsidRPr="003E1767">
              <w:rPr>
                <w:rFonts w:asciiTheme="minorHAnsi" w:hAnsiTheme="minorHAnsi" w:cstheme="minorHAnsi"/>
                <w:sz w:val="20"/>
              </w:rPr>
              <w:t>perform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 xml:space="preserve"> as</w:t>
            </w:r>
            <w:r w:rsidR="004E15BE" w:rsidRPr="003E1767">
              <w:rPr>
                <w:rFonts w:asciiTheme="minorHAnsi" w:hAnsiTheme="minorHAnsi" w:cstheme="minorHAnsi"/>
                <w:sz w:val="20"/>
              </w:rPr>
              <w:t xml:space="preserve"> well</w:t>
            </w:r>
            <w:r w:rsidR="006971B5" w:rsidRPr="003E17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>as</w:t>
            </w:r>
            <w:r w:rsidR="006971B5" w:rsidRPr="003E1767">
              <w:rPr>
                <w:rFonts w:asciiTheme="minorHAnsi" w:hAnsiTheme="minorHAnsi" w:cstheme="minorHAnsi"/>
                <w:sz w:val="20"/>
              </w:rPr>
              <w:t xml:space="preserve"> their peers</w:t>
            </w:r>
            <w:r w:rsidR="004B1EE0" w:rsidRPr="003E1767">
              <w:rPr>
                <w:rFonts w:asciiTheme="minorHAnsi" w:hAnsiTheme="minorHAnsi" w:cstheme="minorHAnsi"/>
                <w:sz w:val="20"/>
              </w:rPr>
              <w:t>. W</w:t>
            </w:r>
            <w:r w:rsidR="004E15BE" w:rsidRPr="003E1767">
              <w:rPr>
                <w:rFonts w:asciiTheme="minorHAnsi" w:hAnsiTheme="minorHAnsi" w:cstheme="minorHAnsi"/>
                <w:sz w:val="20"/>
              </w:rPr>
              <w:t>e have used funding to ensure these children make expected or better progress, we will continue to monitor planned intervention a</w:t>
            </w:r>
            <w:r w:rsidR="0002465A" w:rsidRPr="003E1767">
              <w:rPr>
                <w:rFonts w:asciiTheme="minorHAnsi" w:hAnsiTheme="minorHAnsi" w:cstheme="minorHAnsi"/>
                <w:sz w:val="20"/>
              </w:rPr>
              <w:t>nd adapt the plan as necessary.</w:t>
            </w:r>
          </w:p>
          <w:p w:rsidR="00E909AD" w:rsidRPr="003E1767" w:rsidRDefault="00E909AD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The Pupil Premium Grant </w:t>
            </w:r>
            <w:r w:rsidR="002940C6" w:rsidRPr="003E1767">
              <w:rPr>
                <w:rFonts w:asciiTheme="minorHAnsi" w:hAnsiTheme="minorHAnsi" w:cstheme="minorHAnsi"/>
                <w:sz w:val="20"/>
              </w:rPr>
              <w:t>provide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s</w:t>
            </w:r>
            <w:r w:rsidR="002940C6" w:rsidRPr="003E1767">
              <w:rPr>
                <w:rFonts w:asciiTheme="minorHAnsi" w:hAnsiTheme="minorHAnsi" w:cstheme="minorHAnsi"/>
                <w:sz w:val="20"/>
              </w:rPr>
              <w:t xml:space="preserve"> funding for the following policies</w:t>
            </w:r>
            <w:r w:rsidRPr="003E1767">
              <w:rPr>
                <w:rFonts w:asciiTheme="minorHAnsi" w:hAnsiTheme="minorHAnsi" w:cstheme="minorHAnsi"/>
                <w:sz w:val="20"/>
              </w:rPr>
              <w:t>:</w:t>
            </w:r>
          </w:p>
          <w:p w:rsidR="00C82E2B" w:rsidRPr="003E1767" w:rsidRDefault="00E909AD" w:rsidP="00E909A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Raising the </w:t>
            </w:r>
            <w:r w:rsidR="00C82E2B" w:rsidRPr="003E1767">
              <w:rPr>
                <w:rFonts w:asciiTheme="minorHAnsi" w:hAnsiTheme="minorHAnsi" w:cstheme="minorHAnsi"/>
                <w:sz w:val="20"/>
              </w:rPr>
              <w:t xml:space="preserve">attainment of disadvantaged pupils </w:t>
            </w:r>
            <w:r w:rsidR="002940C6" w:rsidRPr="003E1767">
              <w:rPr>
                <w:rFonts w:asciiTheme="minorHAnsi" w:hAnsiTheme="minorHAnsi" w:cstheme="minorHAnsi"/>
                <w:sz w:val="20"/>
              </w:rPr>
              <w:t>of all abilities to reach their potential</w:t>
            </w:r>
          </w:p>
          <w:p w:rsidR="00A145A9" w:rsidRPr="0002465A" w:rsidRDefault="00C82E2B" w:rsidP="00E0665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Supporting children and young people with parents in the </w:t>
            </w:r>
            <w:r w:rsidR="002940C6" w:rsidRPr="003E1767">
              <w:rPr>
                <w:rFonts w:asciiTheme="minorHAnsi" w:hAnsiTheme="minorHAnsi" w:cstheme="minorHAnsi"/>
                <w:sz w:val="20"/>
              </w:rPr>
              <w:t xml:space="preserve">regular </w:t>
            </w:r>
            <w:r w:rsidRPr="003E1767">
              <w:rPr>
                <w:rFonts w:asciiTheme="minorHAnsi" w:hAnsiTheme="minorHAnsi" w:cstheme="minorHAnsi"/>
                <w:sz w:val="20"/>
              </w:rPr>
              <w:t>armed forces</w:t>
            </w:r>
          </w:p>
        </w:tc>
      </w:tr>
      <w:tr w:rsidR="004036BE" w:rsidRPr="0002465A" w:rsidTr="00F933B3">
        <w:trPr>
          <w:gridAfter w:val="1"/>
          <w:wAfter w:w="664" w:type="pct"/>
          <w:trHeight w:val="149"/>
        </w:trPr>
        <w:tc>
          <w:tcPr>
            <w:tcW w:w="4336" w:type="pct"/>
            <w:gridSpan w:val="6"/>
            <w:shd w:val="clear" w:color="auto" w:fill="DBE5F1" w:themeFill="accent1" w:themeFillTint="33"/>
          </w:tcPr>
          <w:p w:rsidR="00274D65" w:rsidRPr="0002465A" w:rsidRDefault="00B83B7B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 xml:space="preserve">Current Attainment </w:t>
            </w:r>
            <w:r w:rsidR="004B1EE0" w:rsidRPr="0002465A">
              <w:rPr>
                <w:rFonts w:asciiTheme="minorHAnsi" w:hAnsiTheme="minorHAnsi" w:cstheme="minorHAnsi"/>
                <w:sz w:val="22"/>
              </w:rPr>
              <w:t>– E</w:t>
            </w:r>
            <w:r w:rsidR="006D5D10" w:rsidRPr="0002465A">
              <w:rPr>
                <w:rFonts w:asciiTheme="minorHAnsi" w:hAnsiTheme="minorHAnsi" w:cstheme="minorHAnsi"/>
                <w:sz w:val="22"/>
              </w:rPr>
              <w:t xml:space="preserve">nd of </w:t>
            </w:r>
            <w:r w:rsidR="004B1EE0" w:rsidRPr="0002465A">
              <w:rPr>
                <w:rFonts w:asciiTheme="minorHAnsi" w:hAnsiTheme="minorHAnsi" w:cstheme="minorHAnsi"/>
                <w:sz w:val="22"/>
              </w:rPr>
              <w:t xml:space="preserve">Key stage data is not available for 2020 due to the </w:t>
            </w:r>
            <w:r w:rsidR="006D5D10" w:rsidRPr="0002465A">
              <w:rPr>
                <w:rFonts w:asciiTheme="minorHAnsi" w:hAnsiTheme="minorHAnsi" w:cstheme="minorHAnsi"/>
                <w:sz w:val="22"/>
              </w:rPr>
              <w:t>cancellation of Statutory Assessment</w:t>
            </w:r>
            <w:r w:rsidR="003E176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2465A">
              <w:rPr>
                <w:rFonts w:asciiTheme="minorHAnsi" w:hAnsiTheme="minorHAnsi" w:cstheme="minorHAnsi"/>
                <w:sz w:val="22"/>
              </w:rPr>
              <w:t>(KS2 2019</w:t>
            </w:r>
            <w:r w:rsidR="0002465A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F933B3" w:rsidRPr="0002465A" w:rsidTr="00F933B3">
        <w:trPr>
          <w:gridAfter w:val="1"/>
          <w:wAfter w:w="664" w:type="pct"/>
          <w:trHeight w:val="251"/>
        </w:trPr>
        <w:tc>
          <w:tcPr>
            <w:tcW w:w="1575" w:type="pct"/>
            <w:gridSpan w:val="2"/>
            <w:shd w:val="clear" w:color="auto" w:fill="auto"/>
          </w:tcPr>
          <w:p w:rsidR="003F29DE" w:rsidRPr="0002465A" w:rsidRDefault="003F29DE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1" w:type="pct"/>
            <w:shd w:val="clear" w:color="auto" w:fill="DBE5F1" w:themeFill="accent1" w:themeFillTint="33"/>
          </w:tcPr>
          <w:p w:rsidR="00274D65" w:rsidRPr="0002465A" w:rsidRDefault="003F29DE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Pupils eligible for PP (School)</w:t>
            </w:r>
          </w:p>
        </w:tc>
        <w:tc>
          <w:tcPr>
            <w:tcW w:w="1941" w:type="pct"/>
            <w:gridSpan w:val="3"/>
            <w:shd w:val="clear" w:color="auto" w:fill="DBE5F1" w:themeFill="accent1" w:themeFillTint="33"/>
          </w:tcPr>
          <w:p w:rsidR="003F29DE" w:rsidRPr="0002465A" w:rsidRDefault="003F29DE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Other Children (National)</w:t>
            </w:r>
          </w:p>
        </w:tc>
      </w:tr>
      <w:tr w:rsidR="00F933B3" w:rsidRPr="0002465A" w:rsidTr="00F933B3">
        <w:trPr>
          <w:gridAfter w:val="1"/>
          <w:wAfter w:w="664" w:type="pct"/>
          <w:trHeight w:val="149"/>
        </w:trPr>
        <w:tc>
          <w:tcPr>
            <w:tcW w:w="1575" w:type="pct"/>
            <w:gridSpan w:val="2"/>
            <w:shd w:val="clear" w:color="auto" w:fill="auto"/>
          </w:tcPr>
          <w:p w:rsidR="003F29DE" w:rsidRPr="003E1767" w:rsidRDefault="003F29DE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% Achieving ARE in Reading, Writing and Maths</w:t>
            </w:r>
          </w:p>
        </w:tc>
        <w:tc>
          <w:tcPr>
            <w:tcW w:w="821" w:type="pct"/>
            <w:shd w:val="clear" w:color="auto" w:fill="auto"/>
          </w:tcPr>
          <w:p w:rsidR="003F29DE" w:rsidRPr="003E1767" w:rsidRDefault="00B83B7B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33</w:t>
            </w:r>
            <w:r w:rsidR="003F29DE" w:rsidRPr="003E1767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1941" w:type="pct"/>
            <w:gridSpan w:val="3"/>
            <w:shd w:val="clear" w:color="auto" w:fill="auto"/>
          </w:tcPr>
          <w:p w:rsidR="003F29DE" w:rsidRPr="003E1767" w:rsidRDefault="00B83B7B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40</w:t>
            </w:r>
            <w:r w:rsidR="003F29DE" w:rsidRPr="003E1767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F933B3" w:rsidRPr="0002465A" w:rsidTr="00F933B3">
        <w:trPr>
          <w:gridAfter w:val="1"/>
          <w:wAfter w:w="664" w:type="pct"/>
          <w:trHeight w:val="149"/>
        </w:trPr>
        <w:tc>
          <w:tcPr>
            <w:tcW w:w="1575" w:type="pct"/>
            <w:gridSpan w:val="2"/>
            <w:shd w:val="clear" w:color="auto" w:fill="auto"/>
          </w:tcPr>
          <w:p w:rsidR="003F29DE" w:rsidRPr="003E1767" w:rsidRDefault="003F29DE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Progress in Reading </w:t>
            </w:r>
          </w:p>
        </w:tc>
        <w:tc>
          <w:tcPr>
            <w:tcW w:w="821" w:type="pct"/>
            <w:shd w:val="clear" w:color="auto" w:fill="auto"/>
          </w:tcPr>
          <w:p w:rsidR="003F29DE" w:rsidRPr="003E1767" w:rsidRDefault="00AC323E" w:rsidP="00B83B7B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-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0</w:t>
            </w:r>
            <w:r w:rsidRPr="003E1767">
              <w:rPr>
                <w:rFonts w:asciiTheme="minorHAnsi" w:hAnsiTheme="minorHAnsi" w:cstheme="minorHAnsi"/>
                <w:sz w:val="20"/>
              </w:rPr>
              <w:t>.8</w:t>
            </w:r>
          </w:p>
        </w:tc>
        <w:tc>
          <w:tcPr>
            <w:tcW w:w="1941" w:type="pct"/>
            <w:gridSpan w:val="3"/>
            <w:shd w:val="clear" w:color="auto" w:fill="auto"/>
          </w:tcPr>
          <w:p w:rsidR="003F29DE" w:rsidRPr="003E1767" w:rsidRDefault="00AC323E" w:rsidP="00B83B7B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-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1</w:t>
            </w:r>
            <w:r w:rsidRPr="003E1767">
              <w:rPr>
                <w:rFonts w:asciiTheme="minorHAnsi" w:hAnsiTheme="minorHAnsi" w:cstheme="minorHAnsi"/>
                <w:sz w:val="20"/>
              </w:rPr>
              <w:t>.2</w:t>
            </w:r>
          </w:p>
        </w:tc>
      </w:tr>
      <w:tr w:rsidR="00F933B3" w:rsidRPr="0002465A" w:rsidTr="00F933B3">
        <w:trPr>
          <w:gridAfter w:val="1"/>
          <w:wAfter w:w="664" w:type="pct"/>
          <w:trHeight w:val="149"/>
        </w:trPr>
        <w:tc>
          <w:tcPr>
            <w:tcW w:w="1575" w:type="pct"/>
            <w:gridSpan w:val="2"/>
            <w:shd w:val="clear" w:color="auto" w:fill="auto"/>
          </w:tcPr>
          <w:p w:rsidR="003F29DE" w:rsidRPr="003E1767" w:rsidRDefault="003F29DE" w:rsidP="003F29D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Progress in Writing</w:t>
            </w:r>
          </w:p>
        </w:tc>
        <w:tc>
          <w:tcPr>
            <w:tcW w:w="821" w:type="pct"/>
            <w:shd w:val="clear" w:color="auto" w:fill="auto"/>
          </w:tcPr>
          <w:p w:rsidR="003F29DE" w:rsidRPr="003E1767" w:rsidRDefault="00B83B7B" w:rsidP="00B83B7B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0.4</w:t>
            </w:r>
          </w:p>
        </w:tc>
        <w:tc>
          <w:tcPr>
            <w:tcW w:w="1941" w:type="pct"/>
            <w:gridSpan w:val="3"/>
            <w:shd w:val="clear" w:color="auto" w:fill="auto"/>
          </w:tcPr>
          <w:p w:rsidR="003F29DE" w:rsidRPr="003E1767" w:rsidRDefault="00AC323E" w:rsidP="00B83B7B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-1.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933B3" w:rsidRPr="0002465A" w:rsidTr="00F933B3">
        <w:trPr>
          <w:gridAfter w:val="1"/>
          <w:wAfter w:w="664" w:type="pct"/>
          <w:trHeight w:val="149"/>
        </w:trPr>
        <w:tc>
          <w:tcPr>
            <w:tcW w:w="1575" w:type="pct"/>
            <w:gridSpan w:val="2"/>
            <w:shd w:val="clear" w:color="auto" w:fill="auto"/>
          </w:tcPr>
          <w:p w:rsidR="003F29DE" w:rsidRPr="003E1767" w:rsidRDefault="003F29DE" w:rsidP="003F29D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Progress in Maths</w:t>
            </w:r>
          </w:p>
        </w:tc>
        <w:tc>
          <w:tcPr>
            <w:tcW w:w="821" w:type="pct"/>
            <w:shd w:val="clear" w:color="auto" w:fill="auto"/>
          </w:tcPr>
          <w:p w:rsidR="003F29DE" w:rsidRPr="003E1767" w:rsidRDefault="00295430" w:rsidP="00B83B7B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-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941" w:type="pct"/>
            <w:gridSpan w:val="3"/>
            <w:shd w:val="clear" w:color="auto" w:fill="auto"/>
          </w:tcPr>
          <w:p w:rsidR="003F29DE" w:rsidRPr="003E1767" w:rsidRDefault="00AC323E" w:rsidP="00B83B7B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-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6.1</w:t>
            </w:r>
          </w:p>
        </w:tc>
      </w:tr>
      <w:tr w:rsidR="006A4190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  <w:shd w:val="clear" w:color="auto" w:fill="DBE5F1" w:themeFill="accent1" w:themeFillTint="33"/>
          </w:tcPr>
          <w:p w:rsidR="00274D65" w:rsidRPr="0002465A" w:rsidRDefault="003E1767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In-School Barriers: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4190" w:rsidRPr="0002465A">
              <w:trPr>
                <w:trHeight w:val="112"/>
              </w:trPr>
              <w:tc>
                <w:tcPr>
                  <w:tcW w:w="0" w:type="auto"/>
                </w:tcPr>
                <w:p w:rsidR="006A4190" w:rsidRPr="0002465A" w:rsidRDefault="006A419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</w:tc>
            </w:tr>
          </w:tbl>
          <w:p w:rsidR="006A4190" w:rsidRPr="0002465A" w:rsidRDefault="006A4190" w:rsidP="00D72E73">
            <w:pPr>
              <w:tabs>
                <w:tab w:val="left" w:pos="2865"/>
              </w:tabs>
              <w:rPr>
                <w:rFonts w:cstheme="minorHAnsi"/>
                <w:szCs w:val="28"/>
              </w:rPr>
            </w:pPr>
          </w:p>
        </w:tc>
      </w:tr>
      <w:tr w:rsidR="00D72E73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D72E73" w:rsidRPr="003E1767" w:rsidRDefault="00C3281F" w:rsidP="00B83B7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Progress at KS2 has been 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well below national average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in recent years</w:t>
            </w:r>
            <w:r w:rsidR="00A220F4" w:rsidRPr="003E1767">
              <w:rPr>
                <w:rFonts w:asciiTheme="minorHAnsi" w:hAnsiTheme="minorHAnsi" w:cstheme="minorHAnsi"/>
                <w:sz w:val="20"/>
              </w:rPr>
              <w:t>, particularly for children from disadvantaged backgrounds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D72E73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D72E73" w:rsidRPr="003E1767" w:rsidRDefault="00C3281F" w:rsidP="000D6D4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The number of children</w:t>
            </w:r>
            <w:r w:rsidR="00F10AA3" w:rsidRPr="003E1767">
              <w:rPr>
                <w:rFonts w:asciiTheme="minorHAnsi" w:hAnsiTheme="minorHAnsi" w:cstheme="minorHAnsi"/>
                <w:sz w:val="20"/>
              </w:rPr>
              <w:t xml:space="preserve"> from disadvantaged backgrounds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working at greater depth in Reading, Writing and Maths at EYFS, KS1 </w:t>
            </w:r>
            <w:r w:rsidR="00F10AA3" w:rsidRPr="003E1767">
              <w:rPr>
                <w:rFonts w:asciiTheme="minorHAnsi" w:hAnsiTheme="minorHAnsi" w:cstheme="minorHAnsi"/>
                <w:sz w:val="20"/>
              </w:rPr>
              <w:t>and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KS2 is </w:t>
            </w:r>
            <w:r w:rsidR="00F10AA3" w:rsidRPr="003E1767">
              <w:rPr>
                <w:rFonts w:asciiTheme="minorHAnsi" w:hAnsiTheme="minorHAnsi" w:cstheme="minorHAnsi"/>
                <w:sz w:val="20"/>
              </w:rPr>
              <w:t xml:space="preserve">significantly 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lower than </w:t>
            </w:r>
            <w:r w:rsidR="00F10AA3" w:rsidRPr="003E1767">
              <w:rPr>
                <w:rFonts w:asciiTheme="minorHAnsi" w:hAnsiTheme="minorHAnsi" w:cstheme="minorHAnsi"/>
                <w:sz w:val="20"/>
              </w:rPr>
              <w:t xml:space="preserve">other </w:t>
            </w:r>
            <w:r w:rsidRPr="003E1767">
              <w:rPr>
                <w:rFonts w:asciiTheme="minorHAnsi" w:hAnsiTheme="minorHAnsi" w:cstheme="minorHAnsi"/>
                <w:sz w:val="20"/>
              </w:rPr>
              <w:t>children nat</w:t>
            </w:r>
            <w:r w:rsidR="00F10AA3" w:rsidRPr="003E1767">
              <w:rPr>
                <w:rFonts w:asciiTheme="minorHAnsi" w:hAnsiTheme="minorHAnsi" w:cstheme="minorHAnsi"/>
                <w:sz w:val="20"/>
              </w:rPr>
              <w:t>ionally.</w:t>
            </w:r>
          </w:p>
        </w:tc>
      </w:tr>
      <w:tr w:rsidR="00D72E73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D72E73" w:rsidRPr="0002465A" w:rsidRDefault="00F10AA3" w:rsidP="000D6D4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Social and emotional barriers have led to children hav</w:t>
            </w:r>
            <w:r w:rsidR="00295430" w:rsidRPr="003E1767">
              <w:rPr>
                <w:rFonts w:asciiTheme="minorHAnsi" w:hAnsiTheme="minorHAnsi" w:cstheme="minorHAnsi"/>
                <w:sz w:val="20"/>
              </w:rPr>
              <w:t xml:space="preserve">ing fixed mind-sets, </w:t>
            </w:r>
            <w:r w:rsidRPr="003E1767">
              <w:rPr>
                <w:rFonts w:asciiTheme="minorHAnsi" w:hAnsiTheme="minorHAnsi" w:cstheme="minorHAnsi"/>
                <w:sz w:val="20"/>
              </w:rPr>
              <w:t>low levels of</w:t>
            </w:r>
            <w:r w:rsidR="00295430" w:rsidRPr="003E1767">
              <w:rPr>
                <w:rFonts w:asciiTheme="minorHAnsi" w:hAnsiTheme="minorHAnsi" w:cstheme="minorHAnsi"/>
                <w:sz w:val="20"/>
              </w:rPr>
              <w:t xml:space="preserve"> confidence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95430" w:rsidRPr="003E1767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Pr="003E1767">
              <w:rPr>
                <w:rFonts w:asciiTheme="minorHAnsi" w:hAnsiTheme="minorHAnsi" w:cstheme="minorHAnsi"/>
                <w:sz w:val="20"/>
              </w:rPr>
              <w:t>motivation</w:t>
            </w:r>
            <w:r w:rsidR="00295430" w:rsidRPr="003E1767">
              <w:rPr>
                <w:rFonts w:asciiTheme="minorHAnsi" w:hAnsiTheme="minorHAnsi" w:cstheme="minorHAnsi"/>
                <w:sz w:val="20"/>
              </w:rPr>
              <w:t>.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72E73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  <w:shd w:val="clear" w:color="auto" w:fill="DBE5F1" w:themeFill="accent1" w:themeFillTint="33"/>
          </w:tcPr>
          <w:p w:rsidR="002E3AA2" w:rsidRPr="0002465A" w:rsidRDefault="00D72E73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External Barriers:</w:t>
            </w:r>
          </w:p>
        </w:tc>
      </w:tr>
      <w:tr w:rsidR="002105BB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2105BB" w:rsidRPr="003E1767" w:rsidRDefault="002105BB" w:rsidP="00BD246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</w:rPr>
            </w:pPr>
            <w:r w:rsidRPr="003E1767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 xml:space="preserve">Early childhood experiences lead </w:t>
            </w:r>
            <w:r w:rsidR="004A043C" w:rsidRPr="003E1767">
              <w:rPr>
                <w:rFonts w:asciiTheme="minorHAnsi" w:hAnsiTheme="minorHAnsi" w:cstheme="minorHAnsi"/>
                <w:color w:val="auto"/>
                <w:sz w:val="20"/>
              </w:rPr>
              <w:t xml:space="preserve">to sensory processing difficulties for some children </w:t>
            </w:r>
          </w:p>
        </w:tc>
      </w:tr>
      <w:tr w:rsidR="00D72E73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F10AA3" w:rsidRPr="003E1767" w:rsidRDefault="004036BE" w:rsidP="000D6D4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</w:rPr>
            </w:pPr>
            <w:r w:rsidRPr="003E1767">
              <w:rPr>
                <w:rFonts w:asciiTheme="minorHAnsi" w:hAnsiTheme="minorHAnsi" w:cstheme="minorHAnsi"/>
                <w:color w:val="auto"/>
                <w:sz w:val="20"/>
              </w:rPr>
              <w:t xml:space="preserve">Parents engagement  </w:t>
            </w:r>
            <w:r w:rsidR="00295430" w:rsidRPr="003E1767">
              <w:rPr>
                <w:rFonts w:asciiTheme="minorHAnsi" w:hAnsiTheme="minorHAnsi" w:cstheme="minorHAnsi"/>
                <w:color w:val="auto"/>
                <w:sz w:val="20"/>
              </w:rPr>
              <w:t xml:space="preserve">in children’s learning </w:t>
            </w:r>
            <w:r w:rsidRPr="003E1767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6D5D10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6D5D10" w:rsidRPr="003E1767" w:rsidRDefault="006D5D10" w:rsidP="000D6D4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</w:rPr>
            </w:pPr>
            <w:r w:rsidRPr="003E1767">
              <w:rPr>
                <w:rFonts w:asciiTheme="minorHAnsi" w:hAnsiTheme="minorHAnsi" w:cstheme="minorHAnsi"/>
                <w:color w:val="auto"/>
                <w:sz w:val="20"/>
              </w:rPr>
              <w:t>Access to technology at home has limited home learning</w:t>
            </w:r>
          </w:p>
        </w:tc>
      </w:tr>
      <w:tr w:rsidR="00D72E73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D72E73" w:rsidRPr="003E1767" w:rsidRDefault="00295430" w:rsidP="000D6D4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Access to </w:t>
            </w:r>
            <w:r w:rsidR="00FC50A7" w:rsidRPr="003E1767">
              <w:rPr>
                <w:rFonts w:asciiTheme="minorHAnsi" w:hAnsiTheme="minorHAnsi" w:cstheme="minorHAnsi"/>
                <w:sz w:val="20"/>
              </w:rPr>
              <w:t xml:space="preserve">a range of 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experiences </w:t>
            </w:r>
            <w:r w:rsidR="00FC50A7" w:rsidRPr="003E1767">
              <w:rPr>
                <w:rFonts w:asciiTheme="minorHAnsi" w:hAnsiTheme="minorHAnsi" w:cstheme="minorHAnsi"/>
                <w:sz w:val="20"/>
              </w:rPr>
              <w:t>to enhance school curriculum</w:t>
            </w:r>
          </w:p>
        </w:tc>
      </w:tr>
      <w:tr w:rsidR="00024728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  <w:shd w:val="clear" w:color="auto" w:fill="DBE5F1" w:themeFill="accent1" w:themeFillTint="33"/>
          </w:tcPr>
          <w:p w:rsidR="002E3AA2" w:rsidRPr="0002465A" w:rsidRDefault="00024728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Aims and Outcomes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  <w:shd w:val="clear" w:color="auto" w:fill="DBE5F1" w:themeFill="accent1" w:themeFillTint="33"/>
          </w:tcPr>
          <w:p w:rsidR="002E3AA2" w:rsidRPr="0002465A" w:rsidRDefault="00024728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Desired Outcome:</w:t>
            </w:r>
          </w:p>
        </w:tc>
        <w:tc>
          <w:tcPr>
            <w:tcW w:w="1941" w:type="pct"/>
            <w:gridSpan w:val="3"/>
            <w:shd w:val="clear" w:color="auto" w:fill="DBE5F1" w:themeFill="accent1" w:themeFillTint="33"/>
          </w:tcPr>
          <w:p w:rsidR="00024728" w:rsidRPr="0002465A" w:rsidRDefault="00024728" w:rsidP="006A419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>Success Criteria: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</w:tcPr>
          <w:p w:rsidR="00024728" w:rsidRPr="003E1767" w:rsidRDefault="00295430" w:rsidP="000D6D4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Improved </w:t>
            </w:r>
            <w:r w:rsidR="0033704F" w:rsidRPr="003E1767">
              <w:rPr>
                <w:rFonts w:asciiTheme="minorHAnsi" w:hAnsiTheme="minorHAnsi" w:cstheme="minorHAnsi"/>
                <w:sz w:val="20"/>
              </w:rPr>
              <w:t xml:space="preserve">levels of 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progress </w:t>
            </w:r>
            <w:r w:rsidR="0033704F" w:rsidRPr="003E1767">
              <w:rPr>
                <w:rFonts w:asciiTheme="minorHAnsi" w:hAnsiTheme="minorHAnsi" w:cstheme="minorHAnsi"/>
                <w:sz w:val="20"/>
              </w:rPr>
              <w:t xml:space="preserve">in Reading, Writing and Maths at 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 xml:space="preserve">KS1 and </w:t>
            </w:r>
            <w:r w:rsidR="0033704F" w:rsidRPr="003E1767">
              <w:rPr>
                <w:rFonts w:asciiTheme="minorHAnsi" w:hAnsiTheme="minorHAnsi" w:cstheme="minorHAnsi"/>
                <w:sz w:val="20"/>
              </w:rPr>
              <w:t>KS2</w:t>
            </w:r>
          </w:p>
        </w:tc>
        <w:tc>
          <w:tcPr>
            <w:tcW w:w="1941" w:type="pct"/>
            <w:gridSpan w:val="3"/>
          </w:tcPr>
          <w:p w:rsidR="00360855" w:rsidRPr="003E1767" w:rsidRDefault="000D41ED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Children eligible for PP will make similar progress to other children nationally between </w:t>
            </w:r>
            <w:r w:rsidR="00B83B7B" w:rsidRPr="003E1767">
              <w:rPr>
                <w:rFonts w:asciiTheme="minorHAnsi" w:hAnsiTheme="minorHAnsi" w:cstheme="minorHAnsi"/>
                <w:sz w:val="20"/>
              </w:rPr>
              <w:t>key stages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</w:tcPr>
          <w:p w:rsidR="00024728" w:rsidRPr="003E1767" w:rsidRDefault="0033704F" w:rsidP="000D6D4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Increase number of children working at Greater Depth at the end of key stages in line with other children nationally </w:t>
            </w:r>
          </w:p>
        </w:tc>
        <w:tc>
          <w:tcPr>
            <w:tcW w:w="1941" w:type="pct"/>
            <w:gridSpan w:val="3"/>
          </w:tcPr>
          <w:p w:rsidR="002E3AA2" w:rsidRPr="003E1767" w:rsidRDefault="00360855" w:rsidP="002E3AA2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More-</w:t>
            </w:r>
            <w:r w:rsidR="00142F8C" w:rsidRPr="003E1767">
              <w:rPr>
                <w:rFonts w:asciiTheme="minorHAnsi" w:hAnsiTheme="minorHAnsi" w:cstheme="minorHAnsi"/>
                <w:sz w:val="20"/>
              </w:rPr>
              <w:t xml:space="preserve">able children eligible for PP make good or better progress to work at greater depth, exceeding </w:t>
            </w:r>
            <w:r w:rsidR="002E3AA2" w:rsidRPr="003E1767">
              <w:rPr>
                <w:rFonts w:asciiTheme="minorHAnsi" w:hAnsiTheme="minorHAnsi" w:cstheme="minorHAnsi"/>
                <w:sz w:val="20"/>
              </w:rPr>
              <w:t>ARE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</w:tcPr>
          <w:p w:rsidR="00024728" w:rsidRPr="003E1767" w:rsidRDefault="0033704F" w:rsidP="000D6D4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Increased confidence, motivation and growth mind-set</w:t>
            </w:r>
          </w:p>
          <w:p w:rsidR="002105BB" w:rsidRPr="003E1767" w:rsidRDefault="002105BB" w:rsidP="002105BB">
            <w:pPr>
              <w:pStyle w:val="Default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1" w:type="pct"/>
            <w:gridSpan w:val="3"/>
          </w:tcPr>
          <w:p w:rsidR="008205D9" w:rsidRPr="003E1767" w:rsidRDefault="00142F8C" w:rsidP="002E3AA2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Children eligible for PP will respond to positive behaviour strategies and the growth mind-set approach, accelerating their levels of progress to </w:t>
            </w:r>
            <w:r w:rsidR="00193BD2" w:rsidRPr="003E1767">
              <w:rPr>
                <w:rFonts w:asciiTheme="minorHAnsi" w:hAnsiTheme="minorHAnsi" w:cstheme="minorHAnsi"/>
                <w:sz w:val="20"/>
              </w:rPr>
              <w:t>meet or exceed ARE by the end of the year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</w:tcPr>
          <w:p w:rsidR="002105BB" w:rsidRPr="003E1767" w:rsidRDefault="002105BB" w:rsidP="000D6D4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Provision meets the developmental needs of all children</w:t>
            </w:r>
          </w:p>
        </w:tc>
        <w:tc>
          <w:tcPr>
            <w:tcW w:w="1941" w:type="pct"/>
            <w:gridSpan w:val="3"/>
          </w:tcPr>
          <w:p w:rsidR="002105BB" w:rsidRPr="003E1767" w:rsidRDefault="002105BB" w:rsidP="002105BB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Children have appropriate intervention in place and make better/accelerated progress, diminishing the difference between them and other children in their year group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</w:tcPr>
          <w:p w:rsidR="00193BD2" w:rsidRPr="003E1767" w:rsidRDefault="00193BD2" w:rsidP="000D6D4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Opportunities for </w:t>
            </w:r>
            <w:r w:rsidR="00FC50A7" w:rsidRPr="003E1767">
              <w:rPr>
                <w:rFonts w:asciiTheme="minorHAnsi" w:hAnsiTheme="minorHAnsi" w:cstheme="minorHAnsi"/>
                <w:sz w:val="20"/>
              </w:rPr>
              <w:t xml:space="preserve">parental engagement to support children’s learning </w:t>
            </w:r>
          </w:p>
        </w:tc>
        <w:tc>
          <w:tcPr>
            <w:tcW w:w="1941" w:type="pct"/>
            <w:gridSpan w:val="3"/>
          </w:tcPr>
          <w:p w:rsidR="00360855" w:rsidRPr="003E1767" w:rsidRDefault="00FC50A7" w:rsidP="006A419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Children eligible for PP make good or better progress as a result of parental engagement. Improved communication between home and school.</w:t>
            </w:r>
            <w:r w:rsidR="000D6D40" w:rsidRPr="003E1767">
              <w:rPr>
                <w:rFonts w:asciiTheme="minorHAnsi" w:hAnsiTheme="minorHAnsi" w:cstheme="minorHAnsi"/>
                <w:sz w:val="20"/>
              </w:rPr>
              <w:t xml:space="preserve"> A range of opportunities for parents to engage in children’s learning happening in each class on a regular basis. Activities planned match gaps in children’s learning and parents given specific information in order to support learning.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</w:tcPr>
          <w:p w:rsidR="0002465A" w:rsidRPr="003E1767" w:rsidRDefault="0002465A" w:rsidP="0002465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0"/>
              </w:rPr>
            </w:pPr>
            <w:r w:rsidRPr="003E1767">
              <w:rPr>
                <w:rFonts w:asciiTheme="minorHAnsi" w:hAnsiTheme="minorHAnsi" w:cstheme="minorHAnsi"/>
                <w:color w:val="auto"/>
                <w:sz w:val="20"/>
              </w:rPr>
              <w:t>Access to technology at home has limited home learning</w:t>
            </w:r>
          </w:p>
        </w:tc>
        <w:tc>
          <w:tcPr>
            <w:tcW w:w="1941" w:type="pct"/>
            <w:gridSpan w:val="3"/>
          </w:tcPr>
          <w:p w:rsidR="0002465A" w:rsidRPr="003E1767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Children can continue to access learning should they have to self-isolate </w:t>
            </w:r>
          </w:p>
        </w:tc>
      </w:tr>
      <w:tr w:rsidR="00F933B3" w:rsidRPr="0002465A" w:rsidTr="00F933B3">
        <w:trPr>
          <w:gridAfter w:val="1"/>
          <w:wAfter w:w="664" w:type="pct"/>
          <w:trHeight w:val="70"/>
        </w:trPr>
        <w:tc>
          <w:tcPr>
            <w:tcW w:w="2395" w:type="pct"/>
            <w:gridSpan w:val="3"/>
          </w:tcPr>
          <w:p w:rsidR="0002465A" w:rsidRPr="003E1767" w:rsidRDefault="0002465A" w:rsidP="0002465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Children access a range of activities to enhance the curriculum, including after-school clubs and activities </w:t>
            </w:r>
          </w:p>
        </w:tc>
        <w:tc>
          <w:tcPr>
            <w:tcW w:w="1941" w:type="pct"/>
            <w:gridSpan w:val="3"/>
          </w:tcPr>
          <w:p w:rsidR="0002465A" w:rsidRPr="003E1767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Children eligible for PP have access to experiences beyond the classroom, increasing their knowledge of the wider world.  </w:t>
            </w: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  <w:shd w:val="clear" w:color="auto" w:fill="DBE5F1" w:themeFill="accent1" w:themeFillTint="33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2465A">
              <w:rPr>
                <w:rFonts w:asciiTheme="minorHAnsi" w:hAnsiTheme="minorHAnsi" w:cstheme="minorHAnsi"/>
                <w:sz w:val="22"/>
              </w:rPr>
              <w:t xml:space="preserve">How improvement will be measured: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02465A" w:rsidRPr="003E1767" w:rsidRDefault="0002465A" w:rsidP="0002465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Progress in Reading/Writing/Maths in KS2 at 0.0 </w:t>
            </w:r>
          </w:p>
          <w:p w:rsidR="0002465A" w:rsidRPr="003E1767" w:rsidRDefault="0002465A" w:rsidP="0002465A">
            <w:pPr>
              <w:pStyle w:val="Default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02465A" w:rsidRPr="003E1767" w:rsidRDefault="0002465A" w:rsidP="0002465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The number of children eligible for PP exceeding ARE increases to be in line with other children nationally</w:t>
            </w:r>
          </w:p>
          <w:p w:rsidR="0002465A" w:rsidRPr="003E1767" w:rsidRDefault="0002465A" w:rsidP="0002465A">
            <w:pPr>
              <w:pStyle w:val="Default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02465A" w:rsidRPr="003E1767" w:rsidRDefault="0002465A" w:rsidP="0002465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25% Working at Greater Depth in Reading at the end of KS1 </w:t>
            </w:r>
          </w:p>
          <w:p w:rsidR="0002465A" w:rsidRPr="003E1767" w:rsidRDefault="0002465A" w:rsidP="0002465A">
            <w:pPr>
              <w:pStyle w:val="Default"/>
              <w:ind w:left="720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16% Working at Greater Depth in Writing at the end of KS1</w:t>
            </w:r>
          </w:p>
          <w:p w:rsidR="0002465A" w:rsidRPr="003E1767" w:rsidRDefault="0002465A" w:rsidP="0002465A">
            <w:pPr>
              <w:pStyle w:val="Default"/>
              <w:ind w:left="720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21% Working at Greater Depth in Maths at the end of KS1</w:t>
            </w:r>
          </w:p>
          <w:p w:rsidR="0002465A" w:rsidRPr="003E1767" w:rsidRDefault="0002465A" w:rsidP="0002465A">
            <w:pPr>
              <w:pStyle w:val="Default"/>
              <w:ind w:left="720"/>
              <w:rPr>
                <w:rFonts w:asciiTheme="minorHAnsi" w:hAnsiTheme="minorHAnsi" w:cstheme="minorHAnsi"/>
                <w:sz w:val="20"/>
              </w:rPr>
            </w:pPr>
          </w:p>
          <w:p w:rsidR="0002465A" w:rsidRPr="003E1767" w:rsidRDefault="0002465A" w:rsidP="0002465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25% Working at Greater Depth in Reading at the end of KS2</w:t>
            </w:r>
          </w:p>
          <w:p w:rsidR="0002465A" w:rsidRPr="003E1767" w:rsidRDefault="0002465A" w:rsidP="0002465A">
            <w:pPr>
              <w:pStyle w:val="Default"/>
              <w:ind w:left="720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18% Working at Greater Depth in Writing at the end of KS2</w:t>
            </w:r>
          </w:p>
          <w:p w:rsidR="0002465A" w:rsidRDefault="0002465A" w:rsidP="003E1767">
            <w:pPr>
              <w:pStyle w:val="Default"/>
              <w:ind w:left="720"/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23% Working at Greater Depth in Maths at the end of KS2</w:t>
            </w:r>
          </w:p>
          <w:p w:rsidR="00F933B3" w:rsidRPr="003E1767" w:rsidRDefault="00F933B3" w:rsidP="00F933B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02465A" w:rsidRPr="003E1767" w:rsidRDefault="0002465A" w:rsidP="0002465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lastRenderedPageBreak/>
              <w:t>Attainment for children eligible for PP is in-line with other children nationally</w:t>
            </w:r>
          </w:p>
          <w:p w:rsidR="0002465A" w:rsidRPr="003E1767" w:rsidRDefault="0002465A" w:rsidP="0002465A">
            <w:pPr>
              <w:pStyle w:val="Default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02465A" w:rsidRPr="003E1767" w:rsidRDefault="0002465A" w:rsidP="0002465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KS1 65% R/W/M Combined</w:t>
            </w:r>
          </w:p>
          <w:p w:rsidR="0002465A" w:rsidRDefault="0002465A" w:rsidP="003E176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KS2 64% R/W/M Combined</w:t>
            </w:r>
          </w:p>
          <w:p w:rsidR="00F933B3" w:rsidRPr="003E1767" w:rsidRDefault="00F933B3" w:rsidP="00F933B3">
            <w:pPr>
              <w:pStyle w:val="Default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02465A" w:rsidRPr="003E1767" w:rsidRDefault="0002465A" w:rsidP="0002465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Provision meets the developmental needs of all children</w:t>
            </w:r>
          </w:p>
          <w:p w:rsidR="0002465A" w:rsidRPr="003E1767" w:rsidRDefault="0002465A" w:rsidP="0002465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Adjustments made to the environment and timetable to meet needs</w:t>
            </w:r>
          </w:p>
          <w:p w:rsidR="0002465A" w:rsidRDefault="0002465A" w:rsidP="0002465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Observations show all children able to access the curriculum and suitable provision is in place</w:t>
            </w:r>
          </w:p>
          <w:p w:rsidR="00F933B3" w:rsidRPr="003E1767" w:rsidRDefault="00F933B3" w:rsidP="00F933B3">
            <w:pPr>
              <w:pStyle w:val="Default"/>
              <w:ind w:left="10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02465A" w:rsidRDefault="0002465A" w:rsidP="006A5E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 xml:space="preserve">Outcomes as above. Increased number of parents </w:t>
            </w:r>
            <w:r w:rsidR="006A5E2F" w:rsidRPr="003E1767">
              <w:rPr>
                <w:rFonts w:asciiTheme="minorHAnsi" w:hAnsiTheme="minorHAnsi" w:cstheme="minorHAnsi"/>
                <w:sz w:val="20"/>
              </w:rPr>
              <w:t>engaging with school.</w:t>
            </w:r>
            <w:r w:rsidRPr="003E1767">
              <w:rPr>
                <w:rFonts w:asciiTheme="minorHAnsi" w:hAnsiTheme="minorHAnsi" w:cstheme="minorHAnsi"/>
                <w:sz w:val="20"/>
              </w:rPr>
              <w:t xml:space="preserve"> Monitoring</w:t>
            </w:r>
          </w:p>
          <w:p w:rsidR="00F933B3" w:rsidRPr="003E1767" w:rsidRDefault="00F933B3" w:rsidP="00F933B3">
            <w:pPr>
              <w:pStyle w:val="Default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02465A" w:rsidRDefault="006A5E2F" w:rsidP="006A5E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Improved access to internet/</w:t>
            </w:r>
            <w:r w:rsidR="0002465A" w:rsidRPr="003E1767">
              <w:rPr>
                <w:rFonts w:asciiTheme="minorHAnsi" w:hAnsiTheme="minorHAnsi" w:cstheme="minorHAnsi"/>
                <w:sz w:val="20"/>
              </w:rPr>
              <w:t>access to technology at home</w:t>
            </w:r>
          </w:p>
          <w:p w:rsidR="00F933B3" w:rsidRPr="003E1767" w:rsidRDefault="00F933B3" w:rsidP="00F933B3">
            <w:pPr>
              <w:pStyle w:val="Default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465A" w:rsidRPr="0002465A" w:rsidTr="00F933B3">
        <w:trPr>
          <w:gridAfter w:val="1"/>
          <w:wAfter w:w="664" w:type="pct"/>
          <w:trHeight w:val="70"/>
        </w:trPr>
        <w:tc>
          <w:tcPr>
            <w:tcW w:w="4336" w:type="pct"/>
            <w:gridSpan w:val="6"/>
          </w:tcPr>
          <w:p w:rsidR="0002465A" w:rsidRDefault="0002465A" w:rsidP="0002465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3E1767">
              <w:rPr>
                <w:rFonts w:asciiTheme="minorHAnsi" w:hAnsiTheme="minorHAnsi" w:cstheme="minorHAnsi"/>
                <w:sz w:val="20"/>
              </w:rPr>
              <w:t>100% Children eligible to PP accessing school visits and extended day activities</w:t>
            </w:r>
          </w:p>
          <w:p w:rsidR="00F933B3" w:rsidRDefault="00F933B3" w:rsidP="00F933B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  <w:p w:rsidR="00F933B3" w:rsidRDefault="00F933B3" w:rsidP="00F933B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  <w:p w:rsidR="00F933B3" w:rsidRPr="003E1767" w:rsidRDefault="00F933B3" w:rsidP="00F933B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  <w:shd w:val="clear" w:color="auto" w:fill="DBE5F1" w:themeFill="accent1" w:themeFillTint="33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Outcome</w:t>
            </w:r>
          </w:p>
        </w:tc>
        <w:tc>
          <w:tcPr>
            <w:tcW w:w="863" w:type="pct"/>
            <w:shd w:val="clear" w:color="auto" w:fill="DBE5F1" w:themeFill="accent1" w:themeFillTint="33"/>
          </w:tcPr>
          <w:p w:rsidR="0002465A" w:rsidRPr="0002465A" w:rsidRDefault="0002465A" w:rsidP="003E17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</w:p>
        </w:tc>
        <w:tc>
          <w:tcPr>
            <w:tcW w:w="821" w:type="pct"/>
            <w:shd w:val="clear" w:color="auto" w:fill="DBE5F1" w:themeFill="accent1" w:themeFillTint="33"/>
          </w:tcPr>
          <w:p w:rsidR="0002465A" w:rsidRPr="0002465A" w:rsidRDefault="003E1767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Rationale</w:t>
            </w:r>
          </w:p>
        </w:tc>
        <w:tc>
          <w:tcPr>
            <w:tcW w:w="657" w:type="pct"/>
            <w:shd w:val="clear" w:color="auto" w:fill="DBE5F1" w:themeFill="accent1" w:themeFillTint="33"/>
          </w:tcPr>
          <w:p w:rsidR="0002465A" w:rsidRPr="0002465A" w:rsidRDefault="003E1767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Monitoring</w:t>
            </w:r>
            <w:r w:rsidR="0002465A"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DBE5F1" w:themeFill="accent1" w:themeFillTint="33"/>
          </w:tcPr>
          <w:p w:rsidR="0002465A" w:rsidRPr="0002465A" w:rsidRDefault="003E1767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Who?</w:t>
            </w:r>
          </w:p>
        </w:tc>
        <w:tc>
          <w:tcPr>
            <w:tcW w:w="601" w:type="pct"/>
            <w:shd w:val="clear" w:color="auto" w:fill="DBE5F1" w:themeFill="accent1" w:themeFillTint="33"/>
          </w:tcPr>
          <w:p w:rsidR="0002465A" w:rsidRPr="0002465A" w:rsidRDefault="003E1767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 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:rsidR="0002465A" w:rsidRPr="00F933B3" w:rsidRDefault="003E1767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933B3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Improved levels of progress in Reading, Writing and Maths at KS2</w:t>
            </w:r>
          </w:p>
        </w:tc>
        <w:tc>
          <w:tcPr>
            <w:tcW w:w="863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Ensure all children receive quality first teaching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Assess children’s gaps through PUMA/PIRA, dyslexia/dyscalculia assessments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Children below ARE or not making expected progress receive targeted intervention to accelerate progress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Children have access to additional resources to support learning such as Clicker 7 &amp; Dynamo Maths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curriculum is enhanced to widen children’s experiences through experiences such as author visits </w:t>
            </w:r>
          </w:p>
          <w:p w:rsidR="0002465A" w:rsidRPr="006A5E2F" w:rsidRDefault="0002465A" w:rsidP="006A5E2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Senior leaders monitor progress of vulnerable groups </w:t>
            </w:r>
          </w:p>
        </w:tc>
        <w:tc>
          <w:tcPr>
            <w:tcW w:w="821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Intervention to diminish difference between PP and other children</w:t>
            </w:r>
          </w:p>
        </w:tc>
        <w:tc>
          <w:tcPr>
            <w:tcW w:w="657" w:type="pct"/>
          </w:tcPr>
          <w:p w:rsidR="00F933B3" w:rsidRDefault="00F933B3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</w:p>
          <w:p w:rsidR="0002465A" w:rsidRPr="0002465A" w:rsidRDefault="0002465A" w:rsidP="00F933B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Pupil Progress meetings include subject leads, tracking progress of all PP children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Monitor impact of intervention </w:t>
            </w:r>
          </w:p>
        </w:tc>
        <w:tc>
          <w:tcPr>
            <w:tcW w:w="683" w:type="pct"/>
          </w:tcPr>
          <w:p w:rsidR="0002465A" w:rsidRPr="0002465A" w:rsidRDefault="00F933B3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</w:p>
          <w:p w:rsidR="0002465A" w:rsidRPr="0002465A" w:rsidRDefault="00F933B3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subject leads</w:t>
            </w:r>
          </w:p>
          <w:p w:rsidR="0002465A" w:rsidRPr="0002465A" w:rsidRDefault="00F933B3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SENCO</w:t>
            </w:r>
          </w:p>
          <w:p w:rsidR="00F933B3" w:rsidRDefault="00F933B3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Pupil Premium governor</w:t>
            </w:r>
          </w:p>
        </w:tc>
        <w:tc>
          <w:tcPr>
            <w:tcW w:w="601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£18,000 Staffing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£1000 (additional resources)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£1000 supply to support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monitoring training and teacher led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intervention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" w:type="pct"/>
          </w:tcPr>
          <w:p w:rsidR="0002465A" w:rsidRPr="00F933B3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933B3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  <w:p w:rsidR="0002465A" w:rsidRPr="00F933B3" w:rsidRDefault="0002465A" w:rsidP="0002465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2465A" w:rsidRPr="00F933B3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Increase number of children working at Greater Depth at the end of key stages in line with other children nationally</w:t>
            </w:r>
          </w:p>
        </w:tc>
        <w:tc>
          <w:tcPr>
            <w:tcW w:w="863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Improve learning behaviours and growth mind set through focused teaching sessions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Ensure teacher subject knowledge tight and consistent - see maths and English subject plans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Activities to enhance the curriculum and inspire children’s interest </w:t>
            </w:r>
          </w:p>
          <w:p w:rsidR="0002465A" w:rsidRPr="0002465A" w:rsidRDefault="0002465A" w:rsidP="0002465A">
            <w:pPr>
              <w:pStyle w:val="Default"/>
              <w:ind w:left="39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i/>
                <w:sz w:val="20"/>
                <w:szCs w:val="20"/>
              </w:rPr>
              <w:t>(through experiences such as author visits)</w:t>
            </w:r>
          </w:p>
        </w:tc>
        <w:tc>
          <w:tcPr>
            <w:tcW w:w="821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Challenge for all learners needs to increase, those eligible for PP  have performed below other children and typically have low self-esteem </w:t>
            </w:r>
          </w:p>
        </w:tc>
        <w:tc>
          <w:tcPr>
            <w:tcW w:w="657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Monitoring teaching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Pupil Progress meetings include subject leads, tracking progress of all PP children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Monitor impact of intervention</w:t>
            </w:r>
          </w:p>
        </w:tc>
        <w:tc>
          <w:tcPr>
            <w:tcW w:w="683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Class teachers/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subject leads/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SENCO/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HT/ Pupil Premium governor</w:t>
            </w:r>
          </w:p>
        </w:tc>
        <w:tc>
          <w:tcPr>
            <w:tcW w:w="601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£200.00 resources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£220.00 training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£500.00 visits and visitors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Termly </w:t>
            </w: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Increased confidence, motivation and growth mind-set</w:t>
            </w:r>
          </w:p>
        </w:tc>
        <w:tc>
          <w:tcPr>
            <w:tcW w:w="863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 Improve self-esteem/positive learning behaviours through a variety of interventions to support emotional well-being </w:t>
            </w:r>
          </w:p>
          <w:p w:rsidR="0002465A" w:rsidRDefault="0002465A" w:rsidP="006A5E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Support upper KS 2 children through the Activ8 programme.  </w:t>
            </w:r>
          </w:p>
          <w:p w:rsidR="006A5E2F" w:rsidRPr="0002465A" w:rsidRDefault="006A5E2F" w:rsidP="006A5E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Support individual boys through ‘Man 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Choice’ programme as a follow on from Activ8</w:t>
            </w:r>
          </w:p>
        </w:tc>
        <w:tc>
          <w:tcPr>
            <w:tcW w:w="821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Research on approaches in other schools has shown focus on behaviours for learning has had a positive impact on similar groups children. </w:t>
            </w:r>
          </w:p>
        </w:tc>
        <w:tc>
          <w:tcPr>
            <w:tcW w:w="657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Monitor impact of behaviour policy, track PP Children’s rewards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Monitor engagement in Activities: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Activ8</w:t>
            </w:r>
            <w:r w:rsidR="006A5E2F">
              <w:rPr>
                <w:rFonts w:asciiTheme="minorHAnsi" w:hAnsiTheme="minorHAnsi" w:cstheme="minorHAnsi"/>
                <w:sz w:val="20"/>
                <w:szCs w:val="20"/>
              </w:rPr>
              <w:t>/Man by choice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Lego Therapy</w:t>
            </w:r>
          </w:p>
          <w:p w:rsidR="0002465A" w:rsidRPr="0002465A" w:rsidRDefault="006A5E2F" w:rsidP="006A5E2F">
            <w:pPr>
              <w:pStyle w:val="Defaul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02465A"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(Baseline/end of programme assessment)  </w:t>
            </w:r>
          </w:p>
        </w:tc>
        <w:tc>
          <w:tcPr>
            <w:tcW w:w="683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Class teachers/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subject leads/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SENCO/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HT/ Pupil Premium governor</w:t>
            </w:r>
          </w:p>
        </w:tc>
        <w:tc>
          <w:tcPr>
            <w:tcW w:w="601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£1400. (Activ8 PV)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£400.00 (resources/training/staffing)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Provision meets the developmental needs of all children</w:t>
            </w:r>
          </w:p>
        </w:tc>
        <w:tc>
          <w:tcPr>
            <w:tcW w:w="863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Staff are trained and understand sensory processing and attachment issues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Provision adapted, providing timetable adjustments, sensory support, flexible seating etc. </w:t>
            </w:r>
          </w:p>
        </w:tc>
        <w:tc>
          <w:tcPr>
            <w:tcW w:w="821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Recommendations following sensory support and other external agencies </w:t>
            </w:r>
          </w:p>
        </w:tc>
        <w:tc>
          <w:tcPr>
            <w:tcW w:w="657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Pupil Progress Meetings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Learning Walks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Individual Progress Meetings for individuals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EP Observations</w:t>
            </w:r>
          </w:p>
        </w:tc>
        <w:tc>
          <w:tcPr>
            <w:tcW w:w="683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Class teachers/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subject leads/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SENCO/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HT/ Pupil Premium governor/EP/Other external agencies involved </w:t>
            </w:r>
          </w:p>
        </w:tc>
        <w:tc>
          <w:tcPr>
            <w:tcW w:w="601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£200 Seating/resources for sensory circuits etc.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£540 Training and supply cover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Opportunities for parental engagement to support children’s learning</w:t>
            </w:r>
          </w:p>
        </w:tc>
        <w:tc>
          <w:tcPr>
            <w:tcW w:w="863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Provide opportunities for families to interact and develop understanding of skills e.g. reading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Increase staff skills for working with families</w:t>
            </w:r>
          </w:p>
        </w:tc>
        <w:tc>
          <w:tcPr>
            <w:tcW w:w="821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Research has shown the positive impact of parental engagement on children’ attainment. Increasing the involvement of parents of children in receipt on PP will have a positive impact on learning and parent confidence </w:t>
            </w:r>
          </w:p>
        </w:tc>
        <w:tc>
          <w:tcPr>
            <w:tcW w:w="657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Staff to identify families needing support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Monitor engagement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Pupil Progress meetings to identify gaps and target support </w:t>
            </w:r>
          </w:p>
          <w:p w:rsidR="0002465A" w:rsidRPr="00F933B3" w:rsidRDefault="0002465A" w:rsidP="00F933B3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HT/PP governor to monitor provision  </w:t>
            </w:r>
          </w:p>
        </w:tc>
        <w:tc>
          <w:tcPr>
            <w:tcW w:w="683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Class teachers/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subject leads/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SENCO/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HT/ Pupil Premium governor/PSA </w:t>
            </w:r>
          </w:p>
        </w:tc>
        <w:tc>
          <w:tcPr>
            <w:tcW w:w="601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£100.00 High quality texts/other resources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£340 training + overtime for support staff </w:t>
            </w:r>
          </w:p>
        </w:tc>
        <w:tc>
          <w:tcPr>
            <w:tcW w:w="664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6. Staff work with families to improve access to recourses and access to technology at home</w:t>
            </w:r>
          </w:p>
        </w:tc>
        <w:tc>
          <w:tcPr>
            <w:tcW w:w="863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Communication with parents to establish what access they to internet/technology at home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Bids to support access to technology at home</w:t>
            </w:r>
          </w:p>
        </w:tc>
        <w:tc>
          <w:tcPr>
            <w:tcW w:w="821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During long term absence from school those who had internet access and resources at home were in regular contact and continued to make progress at home</w:t>
            </w:r>
          </w:p>
        </w:tc>
        <w:tc>
          <w:tcPr>
            <w:tcW w:w="657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JM to work with staff and families to bid for resources </w:t>
            </w:r>
          </w:p>
        </w:tc>
        <w:tc>
          <w:tcPr>
            <w:tcW w:w="683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JM/Class teachers </w:t>
            </w:r>
          </w:p>
        </w:tc>
        <w:tc>
          <w:tcPr>
            <w:tcW w:w="601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1 day release time, funding through technology bids</w:t>
            </w:r>
          </w:p>
        </w:tc>
        <w:tc>
          <w:tcPr>
            <w:tcW w:w="664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Dec 20</w:t>
            </w:r>
          </w:p>
        </w:tc>
      </w:tr>
      <w:tr w:rsidR="00F933B3" w:rsidRPr="0002465A" w:rsidTr="00F933B3">
        <w:trPr>
          <w:trHeight w:val="70"/>
        </w:trPr>
        <w:tc>
          <w:tcPr>
            <w:tcW w:w="712" w:type="pct"/>
          </w:tcPr>
          <w:p w:rsidR="0002465A" w:rsidRPr="0002465A" w:rsidRDefault="00F933B3" w:rsidP="00F93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 </w:t>
            </w:r>
            <w:r w:rsidR="0002465A" w:rsidRPr="0002465A">
              <w:rPr>
                <w:rFonts w:asciiTheme="minorHAnsi" w:hAnsiTheme="minorHAnsi" w:cstheme="minorHAnsi"/>
                <w:sz w:val="20"/>
                <w:szCs w:val="20"/>
              </w:rPr>
              <w:t>Children access a range of activities to enhance the curriculum, including after-school clubs and activities</w:t>
            </w:r>
          </w:p>
        </w:tc>
        <w:tc>
          <w:tcPr>
            <w:tcW w:w="863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Provide personal development opportunities children might not access otherwise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Target needs of those eligible to PP </w:t>
            </w:r>
          </w:p>
        </w:tc>
        <w:tc>
          <w:tcPr>
            <w:tcW w:w="821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Research into impact of spending shows opportunities increase children’s engagement in and enthusiasm for learning, as well as behaviours for learning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Few children eligible for PP currently engage in extra-curricular activities </w:t>
            </w:r>
          </w:p>
        </w:tc>
        <w:tc>
          <w:tcPr>
            <w:tcW w:w="657" w:type="pct"/>
          </w:tcPr>
          <w:p w:rsidR="0002465A" w:rsidRPr="0002465A" w:rsidRDefault="0002465A" w:rsidP="0002465A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Target activities to children’s interests and abilities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Gather research on children’s current access and provide opportunities beyond their experience </w:t>
            </w:r>
          </w:p>
          <w:p w:rsidR="0002465A" w:rsidRPr="0002465A" w:rsidRDefault="0002465A" w:rsidP="0002465A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Track engagement </w:t>
            </w:r>
          </w:p>
        </w:tc>
        <w:tc>
          <w:tcPr>
            <w:tcW w:w="683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Class teachers/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subject leads/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SENCO/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HT/ Pupil Premium governor/PSA</w:t>
            </w:r>
          </w:p>
        </w:tc>
        <w:tc>
          <w:tcPr>
            <w:tcW w:w="601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 xml:space="preserve">£500.00 visits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£120 (Uniform/equipment)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</w:tcPr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sz w:val="20"/>
                <w:szCs w:val="20"/>
              </w:rPr>
              <w:t>Termly</w:t>
            </w:r>
          </w:p>
          <w:p w:rsidR="0002465A" w:rsidRPr="0002465A" w:rsidRDefault="0002465A" w:rsidP="000246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46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F50FD" w:rsidRPr="0002465A" w:rsidRDefault="002F50FD" w:rsidP="002F50FD">
      <w:pPr>
        <w:rPr>
          <w:rFonts w:cstheme="minorHAnsi"/>
          <w:i/>
          <w:sz w:val="20"/>
          <w:szCs w:val="20"/>
        </w:rPr>
      </w:pPr>
    </w:p>
    <w:sectPr w:rsidR="002F50FD" w:rsidRPr="0002465A" w:rsidSect="00F933B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EE" w:rsidRDefault="000161EE" w:rsidP="006A4190">
      <w:pPr>
        <w:spacing w:after="0" w:line="240" w:lineRule="auto"/>
      </w:pPr>
      <w:r>
        <w:separator/>
      </w:r>
    </w:p>
  </w:endnote>
  <w:endnote w:type="continuationSeparator" w:id="0">
    <w:p w:rsidR="000161EE" w:rsidRDefault="000161EE" w:rsidP="006A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398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190" w:rsidRDefault="006A41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190" w:rsidRDefault="006A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EE" w:rsidRDefault="000161EE" w:rsidP="006A4190">
      <w:pPr>
        <w:spacing w:after="0" w:line="240" w:lineRule="auto"/>
      </w:pPr>
      <w:r>
        <w:separator/>
      </w:r>
    </w:p>
  </w:footnote>
  <w:footnote w:type="continuationSeparator" w:id="0">
    <w:p w:rsidR="000161EE" w:rsidRDefault="000161EE" w:rsidP="006A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5" w:rsidRDefault="003E1767" w:rsidP="00A145A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00C5318" wp14:editId="63DC851A">
          <wp:simplePos x="0" y="0"/>
          <wp:positionH relativeFrom="column">
            <wp:posOffset>8982075</wp:posOffset>
          </wp:positionH>
          <wp:positionV relativeFrom="paragraph">
            <wp:posOffset>-354330</wp:posOffset>
          </wp:positionV>
          <wp:extent cx="73152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D65" w:rsidRPr="003E1767">
      <w:rPr>
        <w:rFonts w:asciiTheme="majorHAnsi" w:hAnsiTheme="majorHAnsi"/>
        <w:sz w:val="28"/>
        <w:szCs w:val="32"/>
      </w:rPr>
      <w:t xml:space="preserve">Pupil Premium Strategy Statement: </w:t>
    </w:r>
    <w:r w:rsidR="00274D65" w:rsidRPr="003E1767">
      <w:rPr>
        <w:rFonts w:asciiTheme="majorHAnsi" w:eastAsiaTheme="majorEastAsia" w:hAnsiTheme="majorHAnsi" w:cstheme="majorBidi"/>
        <w:sz w:val="28"/>
        <w:szCs w:val="32"/>
      </w:rPr>
      <w:t xml:space="preserve">Yaxham C E VA Primary School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DC"/>
    <w:multiLevelType w:val="hybridMultilevel"/>
    <w:tmpl w:val="0EA42CE2"/>
    <w:lvl w:ilvl="0" w:tplc="08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A82"/>
    <w:multiLevelType w:val="hybridMultilevel"/>
    <w:tmpl w:val="052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7FE"/>
    <w:multiLevelType w:val="hybridMultilevel"/>
    <w:tmpl w:val="223E1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74A38"/>
    <w:multiLevelType w:val="hybridMultilevel"/>
    <w:tmpl w:val="58F8A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52074"/>
    <w:multiLevelType w:val="hybridMultilevel"/>
    <w:tmpl w:val="AFE0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40F5"/>
    <w:multiLevelType w:val="hybridMultilevel"/>
    <w:tmpl w:val="99F02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E298D"/>
    <w:multiLevelType w:val="hybridMultilevel"/>
    <w:tmpl w:val="DF905A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948F8"/>
    <w:multiLevelType w:val="hybridMultilevel"/>
    <w:tmpl w:val="458C6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F1D6F"/>
    <w:multiLevelType w:val="hybridMultilevel"/>
    <w:tmpl w:val="C6BA5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24324"/>
    <w:multiLevelType w:val="hybridMultilevel"/>
    <w:tmpl w:val="E740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1734"/>
    <w:multiLevelType w:val="hybridMultilevel"/>
    <w:tmpl w:val="962CBC1A"/>
    <w:lvl w:ilvl="0" w:tplc="08090003">
      <w:start w:val="1"/>
      <w:numFmt w:val="bullet"/>
      <w:lvlText w:val="o"/>
      <w:lvlJc w:val="left"/>
      <w:pPr>
        <w:ind w:left="3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 w15:restartNumberingAfterBreak="0">
    <w:nsid w:val="67BB4F74"/>
    <w:multiLevelType w:val="hybridMultilevel"/>
    <w:tmpl w:val="ED183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83D2E"/>
    <w:multiLevelType w:val="hybridMultilevel"/>
    <w:tmpl w:val="B0CC25F8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3" w15:restartNumberingAfterBreak="0">
    <w:nsid w:val="7D1B3C99"/>
    <w:multiLevelType w:val="hybridMultilevel"/>
    <w:tmpl w:val="695A2580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90"/>
    <w:rsid w:val="000141D1"/>
    <w:rsid w:val="000161EE"/>
    <w:rsid w:val="0002465A"/>
    <w:rsid w:val="00024728"/>
    <w:rsid w:val="00033F81"/>
    <w:rsid w:val="000467D2"/>
    <w:rsid w:val="000B002E"/>
    <w:rsid w:val="000D3DCF"/>
    <w:rsid w:val="000D41ED"/>
    <w:rsid w:val="000D6D40"/>
    <w:rsid w:val="00142F8C"/>
    <w:rsid w:val="001852CA"/>
    <w:rsid w:val="00193BD2"/>
    <w:rsid w:val="001A5B9F"/>
    <w:rsid w:val="001C7265"/>
    <w:rsid w:val="002105BB"/>
    <w:rsid w:val="002226D4"/>
    <w:rsid w:val="00257DE7"/>
    <w:rsid w:val="00274D65"/>
    <w:rsid w:val="002940C6"/>
    <w:rsid w:val="00295430"/>
    <w:rsid w:val="002C1BC3"/>
    <w:rsid w:val="002E3AA2"/>
    <w:rsid w:val="002F50FD"/>
    <w:rsid w:val="00325A5F"/>
    <w:rsid w:val="0032778B"/>
    <w:rsid w:val="0033704F"/>
    <w:rsid w:val="00360855"/>
    <w:rsid w:val="003872C7"/>
    <w:rsid w:val="00391907"/>
    <w:rsid w:val="003A06BC"/>
    <w:rsid w:val="003A2AC9"/>
    <w:rsid w:val="003E1767"/>
    <w:rsid w:val="003F29DE"/>
    <w:rsid w:val="004036BE"/>
    <w:rsid w:val="0041231C"/>
    <w:rsid w:val="00423CA9"/>
    <w:rsid w:val="004269A9"/>
    <w:rsid w:val="00485675"/>
    <w:rsid w:val="004A043C"/>
    <w:rsid w:val="004B1EE0"/>
    <w:rsid w:val="004B2FA7"/>
    <w:rsid w:val="004E15BE"/>
    <w:rsid w:val="004E1F77"/>
    <w:rsid w:val="0054567D"/>
    <w:rsid w:val="005506DF"/>
    <w:rsid w:val="00593D15"/>
    <w:rsid w:val="005D247A"/>
    <w:rsid w:val="005E2D84"/>
    <w:rsid w:val="00615534"/>
    <w:rsid w:val="00641A23"/>
    <w:rsid w:val="00641D28"/>
    <w:rsid w:val="006971B5"/>
    <w:rsid w:val="006A20BA"/>
    <w:rsid w:val="006A4190"/>
    <w:rsid w:val="006A5E2F"/>
    <w:rsid w:val="006D5D10"/>
    <w:rsid w:val="006F1E03"/>
    <w:rsid w:val="00737644"/>
    <w:rsid w:val="0074332F"/>
    <w:rsid w:val="0074461F"/>
    <w:rsid w:val="0074469B"/>
    <w:rsid w:val="007774A3"/>
    <w:rsid w:val="00783F8C"/>
    <w:rsid w:val="007B3ECE"/>
    <w:rsid w:val="007F0579"/>
    <w:rsid w:val="008205D9"/>
    <w:rsid w:val="0082165A"/>
    <w:rsid w:val="00866991"/>
    <w:rsid w:val="008B5BBA"/>
    <w:rsid w:val="008E075E"/>
    <w:rsid w:val="00961C60"/>
    <w:rsid w:val="009C54B8"/>
    <w:rsid w:val="009E3A14"/>
    <w:rsid w:val="009E64AC"/>
    <w:rsid w:val="009F123F"/>
    <w:rsid w:val="00A145A9"/>
    <w:rsid w:val="00A220F4"/>
    <w:rsid w:val="00A23451"/>
    <w:rsid w:val="00A60D2D"/>
    <w:rsid w:val="00AC323E"/>
    <w:rsid w:val="00B173F7"/>
    <w:rsid w:val="00B55F0D"/>
    <w:rsid w:val="00B83B7B"/>
    <w:rsid w:val="00B972E4"/>
    <w:rsid w:val="00BC61C2"/>
    <w:rsid w:val="00BD2460"/>
    <w:rsid w:val="00C00AF3"/>
    <w:rsid w:val="00C21F87"/>
    <w:rsid w:val="00C22251"/>
    <w:rsid w:val="00C254A4"/>
    <w:rsid w:val="00C3281F"/>
    <w:rsid w:val="00C51D05"/>
    <w:rsid w:val="00C82E2B"/>
    <w:rsid w:val="00CF2A5E"/>
    <w:rsid w:val="00D52516"/>
    <w:rsid w:val="00D72E73"/>
    <w:rsid w:val="00DB12BF"/>
    <w:rsid w:val="00DE129B"/>
    <w:rsid w:val="00E03D7F"/>
    <w:rsid w:val="00E043D2"/>
    <w:rsid w:val="00E06654"/>
    <w:rsid w:val="00E17ABD"/>
    <w:rsid w:val="00E17B79"/>
    <w:rsid w:val="00E570A0"/>
    <w:rsid w:val="00E71665"/>
    <w:rsid w:val="00E75AAB"/>
    <w:rsid w:val="00E75F89"/>
    <w:rsid w:val="00E909AD"/>
    <w:rsid w:val="00EC04E7"/>
    <w:rsid w:val="00ED5B70"/>
    <w:rsid w:val="00F10AA3"/>
    <w:rsid w:val="00F42F2B"/>
    <w:rsid w:val="00F75A64"/>
    <w:rsid w:val="00F8173E"/>
    <w:rsid w:val="00F933B3"/>
    <w:rsid w:val="00F93D02"/>
    <w:rsid w:val="00FC2A3D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B01F0-5480-45E2-90FC-D8CE58A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90"/>
  </w:style>
  <w:style w:type="paragraph" w:styleId="Footer">
    <w:name w:val="footer"/>
    <w:basedOn w:val="Normal"/>
    <w:link w:val="FooterChar"/>
    <w:uiPriority w:val="99"/>
    <w:unhideWhenUsed/>
    <w:rsid w:val="006A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90"/>
  </w:style>
  <w:style w:type="paragraph" w:styleId="BalloonText">
    <w:name w:val="Balloon Text"/>
    <w:basedOn w:val="Normal"/>
    <w:link w:val="BalloonTextChar"/>
    <w:uiPriority w:val="99"/>
    <w:semiHidden/>
    <w:unhideWhenUsed/>
    <w:rsid w:val="006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5BD3-DC20-49E7-B5D0-737F87B4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Head - Yaxham Church of England Voluntary Aided Primary School</cp:lastModifiedBy>
  <cp:revision>5</cp:revision>
  <cp:lastPrinted>2019-05-22T07:09:00Z</cp:lastPrinted>
  <dcterms:created xsi:type="dcterms:W3CDTF">2020-10-04T14:41:00Z</dcterms:created>
  <dcterms:modified xsi:type="dcterms:W3CDTF">2020-11-08T14:32:00Z</dcterms:modified>
</cp:coreProperties>
</file>